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3FCD" w14:textId="13BB6ECC" w:rsidR="00E134FE" w:rsidRPr="0010151B" w:rsidRDefault="0010151B" w:rsidP="0010151B">
      <w:pPr>
        <w:jc w:val="center"/>
        <w:rPr>
          <w:rFonts w:ascii="Copperplate Gothic Bold" w:hAnsi="Copperplate Gothic Bold"/>
          <w:sz w:val="32"/>
          <w:szCs w:val="32"/>
        </w:rPr>
      </w:pPr>
      <w:r w:rsidRPr="0010151B">
        <w:rPr>
          <w:rFonts w:ascii="Copperplate Gothic Bold" w:hAnsi="Copperplate Gothic Bold"/>
          <w:sz w:val="32"/>
          <w:szCs w:val="32"/>
        </w:rPr>
        <w:t>Writer’s Statement</w:t>
      </w:r>
    </w:p>
    <w:p w14:paraId="1FF3722B" w14:textId="640F2FA3" w:rsidR="0010151B" w:rsidRDefault="0010151B">
      <w:r>
        <w:t xml:space="preserve">The idea of the Writer’s Statement is to show your thought process in using the intertextual features from </w:t>
      </w:r>
      <w:r w:rsidRPr="0010151B">
        <w:rPr>
          <w:i/>
          <w:iCs/>
        </w:rPr>
        <w:t>To Kill A Mockingbird</w:t>
      </w:r>
      <w:r>
        <w:t xml:space="preserve">. You are trying to prove that you have written a sophisticated intertextual text. </w:t>
      </w:r>
    </w:p>
    <w:p w14:paraId="2C7C569B" w14:textId="2BB6CEA1" w:rsidR="0010151B" w:rsidRDefault="0010151B">
      <w:r>
        <w:t xml:space="preserve">To do this you should compare how and why you have used each feature with how and why </w:t>
      </w:r>
      <w:r w:rsidRPr="00557E88">
        <w:rPr>
          <w:i/>
          <w:iCs/>
        </w:rPr>
        <w:t>To Kill A Mockingbird</w:t>
      </w:r>
      <w:r>
        <w:t xml:space="preserve"> has used that feature. Can y</w:t>
      </w:r>
      <w:bookmarkStart w:id="0" w:name="_GoBack"/>
      <w:bookmarkEnd w:id="0"/>
      <w:r>
        <w:t xml:space="preserve">ou draw connections between your use and the novel’s or have you used the feature differently, for deliberate effect? Perhaps the connection is that you have used similar features to remind the audience of </w:t>
      </w:r>
      <w:r w:rsidRPr="00557E88">
        <w:rPr>
          <w:i/>
          <w:iCs/>
        </w:rPr>
        <w:t>To Kill A Mockingbird</w:t>
      </w:r>
      <w:r>
        <w:t xml:space="preserve"> so you can add ideas from that novel to your story.</w:t>
      </w:r>
    </w:p>
    <w:p w14:paraId="1F21B847" w14:textId="04A4351B" w:rsidR="0010151B" w:rsidRDefault="0010151B">
      <w:r>
        <w:t xml:space="preserve">Read the examples on Haiku to get the idea of what connections you could be making. </w:t>
      </w:r>
    </w:p>
    <w:p w14:paraId="280497A4" w14:textId="0715773A" w:rsidR="0010151B" w:rsidRDefault="0010151B"/>
    <w:p w14:paraId="7DB405A5" w14:textId="62E19672" w:rsidR="0010151B" w:rsidRPr="0010151B" w:rsidRDefault="0010151B" w:rsidP="0010151B">
      <w:pPr>
        <w:jc w:val="center"/>
        <w:rPr>
          <w:rFonts w:ascii="Copperplate Gothic Bold" w:hAnsi="Copperplate Gothic Bold"/>
          <w:sz w:val="28"/>
          <w:szCs w:val="28"/>
        </w:rPr>
      </w:pPr>
      <w:r w:rsidRPr="0010151B">
        <w:rPr>
          <w:rFonts w:ascii="Copperplate Gothic Bold" w:hAnsi="Copperplate Gothic Bold"/>
          <w:sz w:val="28"/>
          <w:szCs w:val="28"/>
        </w:rPr>
        <w:t>Performance Standards</w:t>
      </w:r>
    </w:p>
    <w:p w14:paraId="3B1C4EFF" w14:textId="59AB82E1" w:rsidR="0010151B" w:rsidRDefault="0010151B" w:rsidP="0010151B">
      <w:pPr>
        <w:spacing w:after="0" w:line="240" w:lineRule="auto"/>
        <w:rPr>
          <w:rFonts w:eastAsia="Times New Roman" w:cs="Times New Roman"/>
          <w:i/>
          <w:color w:val="000000"/>
          <w:sz w:val="24"/>
          <w:szCs w:val="24"/>
          <w:lang w:val="en-US"/>
        </w:rPr>
      </w:pPr>
      <w:r w:rsidRPr="0010151B">
        <w:rPr>
          <w:rFonts w:eastAsia="Times New Roman" w:cs="Times New Roman"/>
          <w:i/>
          <w:color w:val="000000"/>
          <w:sz w:val="24"/>
          <w:szCs w:val="24"/>
          <w:lang w:val="en-US"/>
        </w:rPr>
        <w:t xml:space="preserve">Knowledge and Understanding </w:t>
      </w:r>
    </w:p>
    <w:p w14:paraId="15D222B6" w14:textId="53B74663" w:rsidR="0010151B" w:rsidRPr="0010151B" w:rsidRDefault="0010151B" w:rsidP="0010151B">
      <w:pPr>
        <w:spacing w:after="0" w:line="240" w:lineRule="auto"/>
        <w:rPr>
          <w:rFonts w:eastAsia="Times New Roman" w:cs="Times New Roman"/>
          <w:i/>
          <w:color w:val="000000"/>
          <w:sz w:val="24"/>
          <w:szCs w:val="24"/>
          <w:lang w:val="en-US"/>
        </w:rPr>
      </w:pPr>
    </w:p>
    <w:p w14:paraId="480F6F2B" w14:textId="59B06018" w:rsidR="0010151B" w:rsidRDefault="0010151B" w:rsidP="0010151B">
      <w:pPr>
        <w:numPr>
          <w:ilvl w:val="0"/>
          <w:numId w:val="1"/>
        </w:numPr>
        <w:tabs>
          <w:tab w:val="left" w:pos="720"/>
        </w:tabs>
        <w:spacing w:after="0" w:line="240" w:lineRule="auto"/>
        <w:ind w:left="714" w:hanging="357"/>
        <w:rPr>
          <w:rFonts w:eastAsia="MS Mincho" w:cs="Arial"/>
          <w:color w:val="000000"/>
          <w:sz w:val="23"/>
          <w:szCs w:val="23"/>
          <w:lang w:val="en-US"/>
        </w:rPr>
      </w:pPr>
      <w:r w:rsidRPr="0010151B">
        <w:rPr>
          <w:rFonts w:eastAsia="MS Mincho" w:cs="Arial"/>
          <w:color w:val="000000"/>
          <w:sz w:val="23"/>
          <w:szCs w:val="23"/>
          <w:lang w:val="en-US"/>
        </w:rPr>
        <w:t xml:space="preserve">Knowledge and understanding of ways in which texts are created for a range of audiences to convey a clear message added to by links to </w:t>
      </w:r>
      <w:r w:rsidRPr="0010151B">
        <w:rPr>
          <w:rFonts w:eastAsia="MS Mincho" w:cs="Arial"/>
          <w:i/>
          <w:color w:val="000000"/>
          <w:sz w:val="23"/>
          <w:szCs w:val="23"/>
          <w:lang w:val="en-US"/>
        </w:rPr>
        <w:t xml:space="preserve">To Kill A Mockingbird </w:t>
      </w:r>
      <w:r w:rsidRPr="0010151B">
        <w:rPr>
          <w:rFonts w:eastAsia="MS Mincho" w:cs="Arial"/>
          <w:color w:val="000000"/>
          <w:sz w:val="23"/>
          <w:szCs w:val="23"/>
          <w:lang w:val="en-US"/>
        </w:rPr>
        <w:t>in both writer’s statement and narrative</w:t>
      </w:r>
    </w:p>
    <w:p w14:paraId="0B343A34" w14:textId="77777777" w:rsidR="0010151B" w:rsidRPr="0010151B" w:rsidRDefault="0010151B" w:rsidP="0010151B">
      <w:pPr>
        <w:tabs>
          <w:tab w:val="left" w:pos="720"/>
        </w:tabs>
        <w:spacing w:after="0" w:line="240" w:lineRule="auto"/>
        <w:ind w:left="714"/>
        <w:rPr>
          <w:rFonts w:eastAsia="MS Mincho" w:cs="Arial"/>
          <w:color w:val="000000"/>
          <w:sz w:val="23"/>
          <w:szCs w:val="23"/>
          <w:lang w:val="en-US"/>
        </w:rPr>
      </w:pPr>
    </w:p>
    <w:p w14:paraId="3C340063" w14:textId="63C9BBEC" w:rsidR="0010151B" w:rsidRDefault="0010151B" w:rsidP="0010151B">
      <w:pPr>
        <w:spacing w:after="0" w:line="240" w:lineRule="auto"/>
        <w:rPr>
          <w:rFonts w:eastAsia="Times New Roman" w:cs="Times New Roman"/>
          <w:i/>
          <w:color w:val="000000"/>
          <w:sz w:val="24"/>
          <w:szCs w:val="24"/>
          <w:lang w:val="en-US"/>
        </w:rPr>
      </w:pPr>
      <w:r w:rsidRPr="0010151B">
        <w:rPr>
          <w:rFonts w:eastAsia="Times New Roman" w:cs="Times New Roman"/>
          <w:i/>
          <w:color w:val="000000"/>
          <w:sz w:val="24"/>
          <w:szCs w:val="24"/>
          <w:lang w:val="en-US"/>
        </w:rPr>
        <w:t>Analysis</w:t>
      </w:r>
    </w:p>
    <w:p w14:paraId="45012496" w14:textId="217EC497" w:rsidR="0010151B" w:rsidRPr="0010151B" w:rsidRDefault="0010151B" w:rsidP="0010151B">
      <w:pPr>
        <w:spacing w:after="0" w:line="240" w:lineRule="auto"/>
        <w:rPr>
          <w:rFonts w:eastAsia="Times New Roman" w:cs="Times New Roman"/>
          <w:i/>
          <w:color w:val="000000"/>
          <w:sz w:val="24"/>
          <w:szCs w:val="24"/>
          <w:lang w:val="en-US"/>
        </w:rPr>
      </w:pPr>
    </w:p>
    <w:p w14:paraId="31FF97FA" w14:textId="3328187C" w:rsidR="0010151B" w:rsidRDefault="0010151B" w:rsidP="0010151B">
      <w:pPr>
        <w:numPr>
          <w:ilvl w:val="0"/>
          <w:numId w:val="1"/>
        </w:numPr>
        <w:shd w:val="clear" w:color="auto" w:fill="FFFFFF"/>
        <w:spacing w:after="0" w:line="240" w:lineRule="auto"/>
        <w:contextualSpacing/>
        <w:textAlignment w:val="baseline"/>
        <w:rPr>
          <w:rFonts w:eastAsia="SimSun" w:cs="Times New Roman"/>
          <w:sz w:val="23"/>
          <w:szCs w:val="23"/>
          <w:lang w:eastAsia="zh-CN"/>
        </w:rPr>
      </w:pPr>
      <w:r w:rsidRPr="0010151B">
        <w:rPr>
          <w:rFonts w:eastAsia="SimSun" w:cs="Times New Roman"/>
          <w:sz w:val="23"/>
          <w:szCs w:val="23"/>
          <w:lang w:eastAsia="zh-CN"/>
        </w:rPr>
        <w:t>Analysis of intertextual connections in the writer’s statement: style/intertextual features and added meaning identified</w:t>
      </w:r>
    </w:p>
    <w:p w14:paraId="1E95667E" w14:textId="063C1ACE" w:rsidR="0010151B" w:rsidRPr="0010151B" w:rsidRDefault="0010151B" w:rsidP="0010151B">
      <w:pPr>
        <w:shd w:val="clear" w:color="auto" w:fill="FFFFFF"/>
        <w:spacing w:after="0" w:line="240" w:lineRule="auto"/>
        <w:ind w:left="720"/>
        <w:contextualSpacing/>
        <w:textAlignment w:val="baseline"/>
        <w:rPr>
          <w:rFonts w:eastAsia="SimSun" w:cs="Times New Roman"/>
          <w:sz w:val="23"/>
          <w:szCs w:val="23"/>
          <w:lang w:eastAsia="zh-CN"/>
        </w:rPr>
      </w:pPr>
    </w:p>
    <w:p w14:paraId="6966B144" w14:textId="3797CDA2" w:rsidR="0010151B" w:rsidRDefault="0010151B" w:rsidP="0010151B">
      <w:pPr>
        <w:spacing w:after="0" w:line="240" w:lineRule="auto"/>
        <w:rPr>
          <w:rFonts w:eastAsia="Times New Roman" w:cs="Times New Roman"/>
          <w:i/>
          <w:color w:val="000000"/>
          <w:sz w:val="24"/>
          <w:szCs w:val="24"/>
          <w:lang w:val="en-US"/>
        </w:rPr>
      </w:pPr>
      <w:r w:rsidRPr="0010151B">
        <w:rPr>
          <w:rFonts w:eastAsia="Times New Roman" w:cs="Times New Roman"/>
          <w:i/>
          <w:color w:val="000000"/>
          <w:sz w:val="24"/>
          <w:szCs w:val="24"/>
          <w:lang w:val="en-US"/>
        </w:rPr>
        <w:t>Application</w:t>
      </w:r>
    </w:p>
    <w:p w14:paraId="12B2789C" w14:textId="29E73E37" w:rsidR="0010151B" w:rsidRPr="0010151B" w:rsidRDefault="0010151B" w:rsidP="0010151B">
      <w:pPr>
        <w:spacing w:after="0" w:line="240" w:lineRule="auto"/>
        <w:rPr>
          <w:rFonts w:eastAsia="Times New Roman" w:cs="Times New Roman"/>
          <w:i/>
          <w:color w:val="000000"/>
          <w:sz w:val="24"/>
          <w:szCs w:val="24"/>
          <w:lang w:val="en-US"/>
        </w:rPr>
      </w:pPr>
    </w:p>
    <w:p w14:paraId="23AB7D16" w14:textId="641B8FFB" w:rsidR="0010151B" w:rsidRPr="0010151B" w:rsidRDefault="0010151B" w:rsidP="0010151B">
      <w:pPr>
        <w:numPr>
          <w:ilvl w:val="0"/>
          <w:numId w:val="1"/>
        </w:numPr>
        <w:spacing w:after="0" w:line="240" w:lineRule="auto"/>
        <w:rPr>
          <w:rFonts w:eastAsia="Times New Roman" w:cs="Times New Roman"/>
          <w:color w:val="000000"/>
          <w:sz w:val="23"/>
          <w:szCs w:val="23"/>
          <w:lang w:val="en-US"/>
        </w:rPr>
      </w:pPr>
      <w:r w:rsidRPr="0010151B">
        <w:rPr>
          <w:rFonts w:eastAsia="Times New Roman" w:cs="Times New Roman"/>
          <w:color w:val="000000"/>
          <w:sz w:val="23"/>
          <w:szCs w:val="23"/>
          <w:lang w:val="en-US"/>
        </w:rPr>
        <w:t>Precision, fluency and coherence of writing and speaking in both pieces</w:t>
      </w:r>
    </w:p>
    <w:p w14:paraId="04EA7762" w14:textId="77777777" w:rsidR="0010151B" w:rsidRPr="0010151B" w:rsidRDefault="0010151B" w:rsidP="0010151B">
      <w:pPr>
        <w:spacing w:after="0" w:line="240" w:lineRule="auto"/>
        <w:rPr>
          <w:rFonts w:eastAsia="Times New Roman" w:cs="Times New Roman"/>
          <w:color w:val="000000"/>
          <w:sz w:val="23"/>
          <w:szCs w:val="23"/>
          <w:lang w:val="en-US"/>
        </w:rPr>
      </w:pPr>
    </w:p>
    <w:p w14:paraId="649732F2" w14:textId="3B19EB2A" w:rsidR="0010151B" w:rsidRPr="0010151B" w:rsidRDefault="0010151B" w:rsidP="0010151B">
      <w:pPr>
        <w:numPr>
          <w:ilvl w:val="0"/>
          <w:numId w:val="1"/>
        </w:numPr>
        <w:spacing w:after="0" w:line="240" w:lineRule="auto"/>
        <w:rPr>
          <w:rFonts w:eastAsia="Times New Roman" w:cs="Times New Roman"/>
          <w:color w:val="000000"/>
          <w:sz w:val="23"/>
          <w:szCs w:val="23"/>
          <w:lang w:val="en-US"/>
        </w:rPr>
      </w:pPr>
      <w:r w:rsidRPr="0010151B">
        <w:rPr>
          <w:rFonts w:eastAsia="Times New Roman" w:cs="Times New Roman"/>
          <w:color w:val="000000"/>
          <w:sz w:val="23"/>
          <w:szCs w:val="23"/>
          <w:lang w:val="en-US"/>
        </w:rPr>
        <w:t xml:space="preserve">Use of appropriate </w:t>
      </w:r>
      <w:r w:rsidRPr="0010151B">
        <w:rPr>
          <w:rFonts w:eastAsia="Times New Roman" w:cs="Times New Roman"/>
          <w:i/>
          <w:color w:val="000000"/>
          <w:sz w:val="23"/>
          <w:szCs w:val="23"/>
          <w:lang w:val="en-US"/>
        </w:rPr>
        <w:t>To Kill A Mockingbird</w:t>
      </w:r>
      <w:r w:rsidRPr="0010151B">
        <w:rPr>
          <w:rFonts w:eastAsia="Times New Roman" w:cs="Times New Roman"/>
          <w:color w:val="000000"/>
          <w:sz w:val="23"/>
          <w:szCs w:val="23"/>
          <w:lang w:val="en-US"/>
        </w:rPr>
        <w:t>esque language features, stylistic features and conventions in your narrative</w:t>
      </w:r>
    </w:p>
    <w:p w14:paraId="4E453F02" w14:textId="3204BBB1" w:rsidR="0010151B" w:rsidRPr="0010151B" w:rsidRDefault="0010151B" w:rsidP="0010151B">
      <w:pPr>
        <w:spacing w:after="0" w:line="240" w:lineRule="auto"/>
        <w:rPr>
          <w:rFonts w:eastAsia="Times New Roman" w:cs="Times New Roman"/>
          <w:color w:val="000000"/>
          <w:sz w:val="23"/>
          <w:szCs w:val="23"/>
          <w:lang w:val="en-US"/>
        </w:rPr>
      </w:pPr>
    </w:p>
    <w:p w14:paraId="518F0FDC" w14:textId="49D8CDE8" w:rsidR="0010151B" w:rsidRPr="0010151B" w:rsidRDefault="0060339A" w:rsidP="0010151B">
      <w:pPr>
        <w:numPr>
          <w:ilvl w:val="0"/>
          <w:numId w:val="1"/>
        </w:numPr>
        <w:spacing w:after="0" w:line="240" w:lineRule="auto"/>
        <w:rPr>
          <w:rFonts w:eastAsia="Times New Roman" w:cs="Times New Roman"/>
          <w:color w:val="000000"/>
          <w:sz w:val="23"/>
          <w:szCs w:val="23"/>
          <w:lang w:val="en-US"/>
        </w:rPr>
      </w:pPr>
      <w:r>
        <w:rPr>
          <w:noProof/>
        </w:rPr>
        <w:drawing>
          <wp:anchor distT="0" distB="0" distL="114300" distR="114300" simplePos="0" relativeHeight="251658240" behindDoc="0" locked="0" layoutInCell="1" allowOverlap="1" wp14:anchorId="0B6FC264" wp14:editId="4FD4DE36">
            <wp:simplePos x="0" y="0"/>
            <wp:positionH relativeFrom="margin">
              <wp:posOffset>1609015</wp:posOffset>
            </wp:positionH>
            <wp:positionV relativeFrom="paragraph">
              <wp:posOffset>528346</wp:posOffset>
            </wp:positionV>
            <wp:extent cx="2296344" cy="2296344"/>
            <wp:effectExtent l="0" t="0" r="8890" b="8890"/>
            <wp:wrapNone/>
            <wp:docPr id="1" name="Picture 1" descr="A quick mockingbird drawing | Bird drawings, Teenage drawings, Pop ar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ick mockingbird drawing | Bird drawings, Teenage drawings, Pop art  draw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344" cy="229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10151B" w:rsidRPr="0010151B">
        <w:rPr>
          <w:rFonts w:eastAsia="Times New Roman" w:cs="Times New Roman"/>
          <w:color w:val="000000"/>
          <w:sz w:val="23"/>
          <w:szCs w:val="23"/>
          <w:lang w:val="en-US"/>
        </w:rPr>
        <w:t>Use of short quotes and references to your narrative as evidence in your writer’s statement from texts to support conclusions with textual references incorporated in responses.</w:t>
      </w:r>
    </w:p>
    <w:p w14:paraId="6CFF0BE8" w14:textId="07F7D5FC" w:rsidR="0010151B" w:rsidRDefault="0010151B"/>
    <w:sectPr w:rsidR="0010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33E6B"/>
    <w:multiLevelType w:val="hybridMultilevel"/>
    <w:tmpl w:val="8AA42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1B"/>
    <w:rsid w:val="0010151B"/>
    <w:rsid w:val="00557E88"/>
    <w:rsid w:val="0060339A"/>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EF83"/>
  <w15:chartTrackingRefBased/>
  <w15:docId w15:val="{2C2FF30B-E042-400D-A100-C6E40042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3</cp:revision>
  <dcterms:created xsi:type="dcterms:W3CDTF">2020-10-14T02:04:00Z</dcterms:created>
  <dcterms:modified xsi:type="dcterms:W3CDTF">2020-10-14T02:23:00Z</dcterms:modified>
</cp:coreProperties>
</file>