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ED40" w14:textId="06E2E2C2" w:rsidR="00990A68" w:rsidRPr="00651819" w:rsidRDefault="00A94A77" w:rsidP="00A94A77">
      <w:pPr>
        <w:jc w:val="center"/>
        <w:rPr>
          <w:rFonts w:ascii="Gill Sans MT" w:hAnsi="Gill Sans MT"/>
          <w:b/>
          <w:bCs/>
          <w:i/>
          <w:iCs/>
          <w:sz w:val="40"/>
          <w:szCs w:val="40"/>
        </w:rPr>
      </w:pPr>
      <w:r w:rsidRPr="00651819">
        <w:rPr>
          <w:rFonts w:ascii="Gill Sans MT" w:hAnsi="Gill Sans MT"/>
          <w:b/>
          <w:bCs/>
          <w:i/>
          <w:iCs/>
          <w:sz w:val="40"/>
          <w:szCs w:val="40"/>
        </w:rPr>
        <w:t>Poetry Techniques Revision</w:t>
      </w:r>
    </w:p>
    <w:p w14:paraId="4921DCA8" w14:textId="331AEB01" w:rsidR="00A94A77" w:rsidRDefault="00A94A77"/>
    <w:p w14:paraId="098BCF79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  <w:r w:rsidRPr="00745329"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A poem’s meter is made up of feet</w:t>
      </w:r>
    </w:p>
    <w:p w14:paraId="53A304AF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</w:p>
    <w:p w14:paraId="2FF7A277" w14:textId="77777777" w:rsidR="00A94A77" w:rsidRPr="00745329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  <w:r w:rsidRPr="00745329"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Foot</w:t>
      </w:r>
    </w:p>
    <w:p w14:paraId="4A20707E" w14:textId="77777777" w:rsidR="00A94A77" w:rsidRPr="00F52165" w:rsidRDefault="00A94A77" w:rsidP="00A94A7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</w:pPr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The basic unit of measurement of </w:t>
      </w:r>
      <w:hyperlink r:id="rId4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accentual-syllabic meter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. A foot usually contains one stressed syllable and at least one unstressed syllable. The standard types of feet in English poetry are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t</w:t>
      </w:r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he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5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iamb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6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trochee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7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dactyl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8" w:history="1">
        <w:proofErr w:type="spellStart"/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anapest</w:t>
        </w:r>
        <w:proofErr w:type="spellEnd"/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r w:rsidRP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and </w:t>
      </w:r>
      <w:hyperlink r:id="rId9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spondee</w:t>
        </w:r>
      </w:hyperlink>
      <w:r w:rsidRP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.</w:t>
      </w:r>
    </w:p>
    <w:p w14:paraId="598873A1" w14:textId="77777777" w:rsidR="00A94A77" w:rsidRDefault="00A94A77" w:rsidP="00A94A77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62C8C9DE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Iamb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0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 consisting of an unaccented syllable followed by an accented syllable.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The words “unite” and “provide” are both </w:t>
      </w:r>
      <w:proofErr w:type="gramStart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iambic</w:t>
      </w:r>
      <w:proofErr w:type="gramEnd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</w:p>
    <w:p w14:paraId="4BF53672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1936835E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Trochee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1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 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consisting of an accented syllable followed by an unaccented syllable. Examples of trochaic words include “garden” and “highway.”</w:t>
      </w:r>
    </w:p>
    <w:p w14:paraId="5B5A595B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3422D858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Dactyl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 metrical foot consisting of an accented syllable followed by two unaccented syllables; the words “poetry” and “basketball” are both </w:t>
      </w:r>
      <w:proofErr w:type="gramStart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dactylic</w:t>
      </w:r>
      <w:proofErr w:type="gramEnd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. </w:t>
      </w:r>
    </w:p>
    <w:p w14:paraId="37D26B1B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1E63BB0F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Anapest</w:t>
      </w:r>
      <w:proofErr w:type="spellEnd"/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2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 consisting of two unaccented syllables followed by an accented syllable. The words “underfoot” and “overcome” are </w:t>
      </w:r>
      <w:proofErr w:type="spellStart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anapestic</w:t>
      </w:r>
      <w:proofErr w:type="spellEnd"/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</w:p>
    <w:p w14:paraId="730BF687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2CFD8F35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Spondee</w:t>
      </w:r>
      <w:r w:rsidRPr="00F52165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3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 consisting of two accented syllables. An example of a spondaic word is “hog-wild.”</w:t>
      </w:r>
    </w:p>
    <w:p w14:paraId="166BA8F7" w14:textId="77777777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</w:p>
    <w:p w14:paraId="3B3DD4DC" w14:textId="767F2CFE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Iambic Pentameter</w:t>
      </w:r>
      <w:r w:rsidRPr="00F52165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line made up of five iambs.</w:t>
      </w:r>
    </w:p>
    <w:p w14:paraId="07EDF5B4" w14:textId="4EF79D62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</w:p>
    <w:p w14:paraId="0C5D8BC7" w14:textId="22CAAAEB" w:rsid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 w:rsidRPr="00A94A77"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t>Consonance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A resemblance in sound between two words, or an initial rhyme</w:t>
      </w:r>
      <w:r w:rsid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. 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>Consonance can also refer to shared consonants, whether in sequence (“bed” and “bad”) or reversed (“bud” and “dab”).</w:t>
      </w:r>
    </w:p>
    <w:p w14:paraId="72DEBBD1" w14:textId="77777777" w:rsidR="00736FD5" w:rsidRDefault="00736FD5" w:rsidP="00852A1D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39C35618" w14:textId="0AA4E480" w:rsidR="00852A1D" w:rsidRPr="00852A1D" w:rsidRDefault="00852A1D" w:rsidP="00852A1D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  <w:r w:rsidRPr="00852A1D"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Alliteration</w:t>
      </w:r>
    </w:p>
    <w:p w14:paraId="15CAA3BF" w14:textId="77777777" w:rsidR="00852A1D" w:rsidRPr="00852A1D" w:rsidRDefault="00852A1D" w:rsidP="00852A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</w:pPr>
      <w:r w:rsidRPr="00852A1D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The repetition of initial stressed, consonant sounds in a series of words within a phrase or verse line. Alliteration need not reuse all initial consonants; “pizza” and “place” alliterate.</w:t>
      </w:r>
    </w:p>
    <w:p w14:paraId="340543A3" w14:textId="77777777" w:rsidR="00736FD5" w:rsidRDefault="00736FD5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</w:pPr>
    </w:p>
    <w:p w14:paraId="311C53AE" w14:textId="65D83F67" w:rsidR="00A94A77" w:rsidRP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</w:pPr>
      <w:r w:rsidRPr="00A94A77"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lastRenderedPageBreak/>
        <w:t>Caesura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A stop or pause in a metrical line, often marked by punctuation or by a grammatical boundary, such as a phrase or clause. A medial caesura splits the line in equal parts, as is common in Old English poetry</w:t>
      </w:r>
      <w:r w:rsidR="00783F92"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Elizabeth Barrett Browning’s</w:t>
      </w:r>
      <w:hyperlink r:id="rId14" w:history="1">
        <w:r w:rsidR="00852A1D" w:rsidRPr="0044232D">
          <w:rPr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 “Mother and Poet”</w:t>
        </w:r>
      </w:hyperlink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> contains both initial</w:t>
      </w:r>
      <w:r w:rsid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(at the start of the line)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(“Dead! One of them shot by sea in the east”) and terminal </w:t>
      </w:r>
      <w:r w:rsidR="00852A1D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(at the end of the line) 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>caesurae (“No voice says ‘</w:t>
      </w:r>
      <w:r w:rsidR="00852A1D" w:rsidRPr="00852A1D">
        <w:rPr>
          <w:rFonts w:ascii="Garamond" w:hAnsi="Garamond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My</w:t>
      </w:r>
      <w:r w:rsidR="00852A1D" w:rsidRPr="00852A1D">
        <w:rPr>
          <w:rFonts w:ascii="Garamond" w:hAnsi="Garamond"/>
          <w:color w:val="000000"/>
          <w:sz w:val="30"/>
          <w:szCs w:val="30"/>
          <w:shd w:val="clear" w:color="auto" w:fill="FFFFFF"/>
        </w:rPr>
        <w:t> mother’ again to me. What?”)</w:t>
      </w:r>
    </w:p>
    <w:p w14:paraId="34A01495" w14:textId="77777777" w:rsidR="00736FD5" w:rsidRDefault="00736FD5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</w:pPr>
    </w:p>
    <w:p w14:paraId="5BB9166F" w14:textId="4900894C" w:rsidR="00322618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1A1A1A"/>
          <w:sz w:val="30"/>
          <w:szCs w:val="30"/>
          <w:shd w:val="clear" w:color="auto" w:fill="FFFFFF"/>
        </w:rPr>
      </w:pPr>
      <w:r w:rsidRPr="00A94A77"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t>Parallelism</w:t>
      </w:r>
      <w:r w:rsidR="00322618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 Where ideas or words are repeated in a pattern.</w:t>
      </w:r>
    </w:p>
    <w:p w14:paraId="7C5F1955" w14:textId="77777777" w:rsidR="00322618" w:rsidRDefault="00322618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1A1A1A"/>
          <w:sz w:val="30"/>
          <w:szCs w:val="30"/>
          <w:shd w:val="clear" w:color="auto" w:fill="FFFFFF"/>
        </w:rPr>
      </w:pPr>
      <w:r>
        <w:rPr>
          <w:rFonts w:ascii="Garamond" w:hAnsi="Garamond"/>
          <w:color w:val="1A1A1A"/>
          <w:sz w:val="30"/>
          <w:szCs w:val="30"/>
          <w:shd w:val="clear" w:color="auto" w:fill="FFFFFF"/>
        </w:rPr>
        <w:t>Examples:</w:t>
      </w:r>
    </w:p>
    <w:p w14:paraId="347C832A" w14:textId="6C3B4D19" w:rsidR="00322618" w:rsidRDefault="00322618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1A1A1A"/>
          <w:sz w:val="30"/>
          <w:szCs w:val="30"/>
          <w:shd w:val="clear" w:color="auto" w:fill="FFFFFF"/>
        </w:rPr>
      </w:pPr>
      <w:r>
        <w:rPr>
          <w:rFonts w:ascii="Garamond" w:hAnsi="Garamond"/>
          <w:color w:val="1A1A1A"/>
          <w:sz w:val="30"/>
          <w:szCs w:val="30"/>
          <w:shd w:val="clear" w:color="auto" w:fill="FFFFFF"/>
        </w:rPr>
        <w:t>S</w:t>
      </w:r>
      <w:r w:rsidR="007C6D7A"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ingle words that have a slight variation in meaning: “ordain and establish” or “overtake and surpass.”</w:t>
      </w:r>
    </w:p>
    <w:p w14:paraId="2323505E" w14:textId="2AA8FF7D" w:rsidR="00BE31D6" w:rsidRDefault="007C6D7A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1A1A1A"/>
          <w:sz w:val="30"/>
          <w:szCs w:val="30"/>
          <w:shd w:val="clear" w:color="auto" w:fill="FFFFFF"/>
        </w:rPr>
      </w:pP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Sometimes three or more </w:t>
      </w:r>
      <w:r w:rsidR="00322618">
        <w:rPr>
          <w:rFonts w:ascii="Garamond" w:hAnsi="Garamond"/>
          <w:color w:val="1A1A1A"/>
          <w:sz w:val="30"/>
          <w:szCs w:val="30"/>
          <w:shd w:val="clear" w:color="auto" w:fill="FFFFFF"/>
        </w:rPr>
        <w:t>phrases: “</w:t>
      </w: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Reading </w:t>
      </w:r>
      <w:proofErr w:type="spellStart"/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maketh</w:t>
      </w:r>
      <w:proofErr w:type="spellEnd"/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 a full man, conference a ready man, and writing an exact man”</w:t>
      </w:r>
    </w:p>
    <w:p w14:paraId="305E3242" w14:textId="5378C6A3" w:rsidR="002E2196" w:rsidRDefault="002E2196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1A1A1A"/>
          <w:sz w:val="30"/>
          <w:szCs w:val="30"/>
          <w:shd w:val="clear" w:color="auto" w:fill="FFFFFF"/>
        </w:rPr>
      </w:pPr>
      <w:r>
        <w:rPr>
          <w:rFonts w:ascii="Garamond" w:hAnsi="Garamond"/>
          <w:color w:val="1A1A1A"/>
          <w:sz w:val="30"/>
          <w:szCs w:val="30"/>
          <w:shd w:val="clear" w:color="auto" w:fill="FFFFFF"/>
        </w:rPr>
        <w:t>In English other types of parallelism include: ant</w:t>
      </w:r>
      <w:r w:rsidR="007F7165">
        <w:rPr>
          <w:rFonts w:ascii="Garamond" w:hAnsi="Garamond"/>
          <w:color w:val="1A1A1A"/>
          <w:sz w:val="30"/>
          <w:szCs w:val="30"/>
          <w:shd w:val="clear" w:color="auto" w:fill="FFFFFF"/>
        </w:rPr>
        <w:t>i</w:t>
      </w:r>
      <w:r>
        <w:rPr>
          <w:rFonts w:ascii="Garamond" w:hAnsi="Garamond"/>
          <w:color w:val="1A1A1A"/>
          <w:sz w:val="30"/>
          <w:szCs w:val="30"/>
          <w:shd w:val="clear" w:color="auto" w:fill="FFFFFF"/>
        </w:rPr>
        <w:t>metabole and anaphora</w:t>
      </w:r>
    </w:p>
    <w:p w14:paraId="0C32A876" w14:textId="72C6874E" w:rsidR="00A94A77" w:rsidRPr="007C6D7A" w:rsidRDefault="007C6D7A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b/>
          <w:bCs/>
          <w:color w:val="000000"/>
          <w:sz w:val="30"/>
          <w:szCs w:val="30"/>
          <w:shd w:val="clear" w:color="auto" w:fill="FFFFFF"/>
        </w:rPr>
      </w:pP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Prominent figure in </w:t>
      </w:r>
      <w:r w:rsidRPr="00F23D7E">
        <w:rPr>
          <w:rFonts w:ascii="Garamond" w:hAnsi="Garamond"/>
          <w:sz w:val="30"/>
          <w:szCs w:val="30"/>
          <w:shd w:val="clear" w:color="auto" w:fill="FFFFFF"/>
        </w:rPr>
        <w:t>Hebrew </w:t>
      </w: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poetry</w:t>
      </w:r>
      <w:r w:rsidR="00F23D7E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F23D7E">
        <w:rPr>
          <w:rFonts w:ascii="Garamond" w:hAnsi="Garamond"/>
          <w:color w:val="1A1A1A"/>
          <w:sz w:val="30"/>
          <w:szCs w:val="30"/>
          <w:shd w:val="clear" w:color="auto" w:fill="FFFFFF"/>
        </w:rPr>
        <w:t>ie</w:t>
      </w:r>
      <w:proofErr w:type="spellEnd"/>
      <w:proofErr w:type="gramEnd"/>
      <w:r w:rsidR="00F23D7E">
        <w:rPr>
          <w:rFonts w:ascii="Garamond" w:hAnsi="Garamond"/>
          <w:color w:val="1A1A1A"/>
          <w:sz w:val="30"/>
          <w:szCs w:val="30"/>
          <w:shd w:val="clear" w:color="auto" w:fill="FFFFFF"/>
        </w:rPr>
        <w:t xml:space="preserve"> </w:t>
      </w: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from the Psalms: “but they flattered him with their mouths; they lied to him with their tongues” (</w:t>
      </w:r>
      <w:r w:rsidR="00385C1B">
        <w:rPr>
          <w:rFonts w:ascii="Garamond" w:hAnsi="Garamond"/>
          <w:color w:val="1A1A1A"/>
          <w:sz w:val="30"/>
          <w:szCs w:val="30"/>
          <w:shd w:val="clear" w:color="auto" w:fill="FFFFFF"/>
        </w:rPr>
        <w:t>repeated idea</w:t>
      </w: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); “we will not hide them from their children, but tell to the coming generation the glorious deeds of the Lord” (</w:t>
      </w:r>
      <w:r w:rsidR="00385C1B">
        <w:rPr>
          <w:rFonts w:ascii="Garamond" w:hAnsi="Garamond"/>
          <w:color w:val="1A1A1A"/>
          <w:sz w:val="30"/>
          <w:szCs w:val="30"/>
          <w:shd w:val="clear" w:color="auto" w:fill="FFFFFF"/>
        </w:rPr>
        <w:t>opposite idea</w:t>
      </w:r>
      <w:r w:rsidRPr="007C6D7A">
        <w:rPr>
          <w:rFonts w:ascii="Garamond" w:hAnsi="Garamond"/>
          <w:color w:val="1A1A1A"/>
          <w:sz w:val="30"/>
          <w:szCs w:val="30"/>
          <w:shd w:val="clear" w:color="auto" w:fill="FFFFFF"/>
        </w:rPr>
        <w:t>).</w:t>
      </w:r>
    </w:p>
    <w:p w14:paraId="1AA279B6" w14:textId="77777777" w:rsidR="00736FD5" w:rsidRDefault="00736FD5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</w:pPr>
    </w:p>
    <w:p w14:paraId="2E467837" w14:textId="7C426826" w:rsidR="00A94A77" w:rsidRPr="00A94A77" w:rsidRDefault="00A94A77" w:rsidP="00A94A7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  <w:r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t>S</w:t>
      </w:r>
      <w:r w:rsidRPr="00A94A77"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t>ymbols</w:t>
      </w:r>
      <w:r w:rsidR="00052006"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5200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Something </w:t>
      </w:r>
      <w:r w:rsidR="00561470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concrete </w:t>
      </w:r>
      <w:proofErr w:type="gramStart"/>
      <w:r w:rsidR="001A69E1">
        <w:rPr>
          <w:rFonts w:ascii="Garamond" w:hAnsi="Garamond"/>
          <w:color w:val="000000"/>
          <w:sz w:val="30"/>
          <w:szCs w:val="30"/>
          <w:shd w:val="clear" w:color="auto" w:fill="FFFFFF"/>
        </w:rPr>
        <w:t>i.e.</w:t>
      </w:r>
      <w:proofErr w:type="gramEnd"/>
      <w:r w:rsidR="00561470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to do with the</w:t>
      </w:r>
      <w:r w:rsidR="0005200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senses, including an action, that </w:t>
      </w:r>
      <w:r w:rsidR="00561470">
        <w:rPr>
          <w:rFonts w:ascii="Garamond" w:hAnsi="Garamond"/>
          <w:color w:val="000000"/>
          <w:sz w:val="30"/>
          <w:szCs w:val="30"/>
          <w:shd w:val="clear" w:color="auto" w:fill="FFFFFF"/>
        </w:rPr>
        <w:t>stands for something</w:t>
      </w:r>
      <w:r w:rsidR="00052006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abstrac</w:t>
      </w:r>
      <w:r w:rsidR="00561470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t </w:t>
      </w:r>
      <w:r w:rsidR="001A69E1">
        <w:rPr>
          <w:rFonts w:ascii="Garamond" w:hAnsi="Garamond"/>
          <w:color w:val="000000"/>
          <w:sz w:val="30"/>
          <w:szCs w:val="30"/>
          <w:shd w:val="clear" w:color="auto" w:fill="FFFFFF"/>
        </w:rPr>
        <w:t>i.e.</w:t>
      </w:r>
      <w:r w:rsidR="00561470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an idea</w:t>
      </w:r>
      <w:r w:rsidR="00052006"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</w:p>
    <w:p w14:paraId="2AB65444" w14:textId="77777777" w:rsidR="00A94A77" w:rsidRDefault="00A94A77"/>
    <w:p w14:paraId="07702CB5" w14:textId="77777777" w:rsidR="00A94A77" w:rsidRDefault="00A94A77"/>
    <w:sectPr w:rsidR="00A9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52006"/>
    <w:rsid w:val="001A69E1"/>
    <w:rsid w:val="002E2196"/>
    <w:rsid w:val="00322618"/>
    <w:rsid w:val="00385C1B"/>
    <w:rsid w:val="0044232D"/>
    <w:rsid w:val="00481697"/>
    <w:rsid w:val="00561470"/>
    <w:rsid w:val="00651819"/>
    <w:rsid w:val="00736FD5"/>
    <w:rsid w:val="00783F92"/>
    <w:rsid w:val="007C6D7A"/>
    <w:rsid w:val="007F7165"/>
    <w:rsid w:val="00840C09"/>
    <w:rsid w:val="00852A1D"/>
    <w:rsid w:val="00990A68"/>
    <w:rsid w:val="00A94A77"/>
    <w:rsid w:val="00BE31D6"/>
    <w:rsid w:val="00E3733A"/>
    <w:rsid w:val="00F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7EDC"/>
  <w15:chartTrackingRefBased/>
  <w15:docId w15:val="{A92C4FC7-584A-491D-972B-A072B56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learning/glossary-term.html?term=Anapest" TargetMode="External"/><Relationship Id="rId13" Type="http://schemas.openxmlformats.org/officeDocument/2006/relationships/hyperlink" Target="https://www.poetryfoundation.org/learning/glossary-term.html?term=Fo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learning/glossary-term.html?term=Dactyl" TargetMode="External"/><Relationship Id="rId12" Type="http://schemas.openxmlformats.org/officeDocument/2006/relationships/hyperlink" Target="https://www.poetryfoundation.org/learning/glossary-term.html?term=Foo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learning/glossary-term.html?term=Trochee" TargetMode="External"/><Relationship Id="rId11" Type="http://schemas.openxmlformats.org/officeDocument/2006/relationships/hyperlink" Target="https://www.poetryfoundation.org/learning/glossary-term.html?term=Foot" TargetMode="External"/><Relationship Id="rId5" Type="http://schemas.openxmlformats.org/officeDocument/2006/relationships/hyperlink" Target="https://www.poetryfoundation.org/learning/glossary-term.html?term=Iam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oetryfoundation.org/learning/glossary-term.html?term=Foot" TargetMode="External"/><Relationship Id="rId4" Type="http://schemas.openxmlformats.org/officeDocument/2006/relationships/hyperlink" Target="https://www.poetryfoundation.org/resources/learning/glossary-terms/detail/accentual-syllabic-verse" TargetMode="External"/><Relationship Id="rId9" Type="http://schemas.openxmlformats.org/officeDocument/2006/relationships/hyperlink" Target="https://www.poetryfoundation.org/learning/glossary-term.html?term=Spondee" TargetMode="External"/><Relationship Id="rId14" Type="http://schemas.openxmlformats.org/officeDocument/2006/relationships/hyperlink" Target="http://www.poetryfoundation.org/archive/poem.html?id=17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19</cp:revision>
  <dcterms:created xsi:type="dcterms:W3CDTF">2022-05-27T04:03:00Z</dcterms:created>
  <dcterms:modified xsi:type="dcterms:W3CDTF">2022-05-30T00:39:00Z</dcterms:modified>
</cp:coreProperties>
</file>