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637" w:rsidRDefault="00406637" w:rsidP="00B16AD7">
      <w:pPr>
        <w:ind w:left="90" w:hanging="90"/>
        <w:rPr>
          <w:rFonts w:ascii="Arial" w:hAnsi="Arial" w:cs="Arial"/>
          <w:b/>
          <w:sz w:val="36"/>
          <w:szCs w:val="36"/>
        </w:rPr>
      </w:pPr>
    </w:p>
    <w:p w:rsidR="004B6B73" w:rsidRDefault="00B16AD7" w:rsidP="004B6B73">
      <w:pPr>
        <w:ind w:left="90" w:hanging="90"/>
        <w:rPr>
          <w:rFonts w:ascii="Arial" w:hAnsi="Arial" w:cs="Arial"/>
          <w:b/>
          <w:sz w:val="36"/>
          <w:szCs w:val="36"/>
        </w:rPr>
      </w:pPr>
      <w:r w:rsidRPr="00B16AD7">
        <w:rPr>
          <w:rFonts w:ascii="Arial" w:hAnsi="Arial" w:cs="Arial"/>
          <w:b/>
          <w:noProof/>
          <w:sz w:val="36"/>
          <w:szCs w:val="36"/>
          <w:lang w:eastAsia="en-AU"/>
        </w:rPr>
        <w:drawing>
          <wp:anchor distT="0" distB="0" distL="114300" distR="114300" simplePos="0" relativeHeight="251661312" behindDoc="1" locked="0" layoutInCell="1" allowOverlap="1" wp14:anchorId="59CFA1F7" wp14:editId="0D85691C">
            <wp:simplePos x="0" y="0"/>
            <wp:positionH relativeFrom="column">
              <wp:posOffset>-1905</wp:posOffset>
            </wp:positionH>
            <wp:positionV relativeFrom="paragraph">
              <wp:posOffset>5080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14:anchorId="521E0B9F" wp14:editId="65B0B24B">
                <wp:simplePos x="0" y="0"/>
                <wp:positionH relativeFrom="column">
                  <wp:posOffset>979666</wp:posOffset>
                </wp:positionH>
                <wp:positionV relativeFrom="paragraph">
                  <wp:posOffset>5080</wp:posOffset>
                </wp:positionV>
                <wp:extent cx="5352415" cy="423545"/>
                <wp:effectExtent l="0" t="0" r="19685" b="14605"/>
                <wp:wrapSquare wrapText="bothSides"/>
                <wp:docPr id="1" name="Text Box 1"/>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rsidR="00B16AD7" w:rsidRPr="00B16AD7" w:rsidRDefault="00B16AD7"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E0B9F" id="_x0000_t202" coordsize="21600,21600" o:spt="202" path="m,l,21600r21600,l21600,xe">
                <v:stroke joinstyle="miter"/>
                <v:path gradientshapeok="t" o:connecttype="rect"/>
              </v:shapetype>
              <v:shape id="Text Box 1" o:spid="_x0000_s1026" type="#_x0000_t202" style="position:absolute;left:0;text-align:left;margin-left:77.15pt;margin-top:.4pt;width:421.45pt;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R/ZQIAANsEAAAOAAAAZHJzL2Uyb0RvYy54bWysVFFP2zAQfp+0/2D5fSQtDRsVKepATJMY&#10;IMHEs+s4NJrj82y3Cfv1++ykpbA9TXtxz3eXz3fffdez877VbKucb8iUfHKUc6aMpKoxTyX//nD1&#10;4RNnPghTCU1GlfxZeX6+eP/urLNzNaU16Uo5BhDj550t+ToEO88yL9eqFf6IrDII1uRaEXB1T1nl&#10;RAf0VmfTPD/JOnKVdSSV9/BeDkG+SPh1rWS4rWuvAtMlR20hnS6dq3hmizMxf3LCrhs5liH+oYpW&#10;NAaP7qEuRRBs45o/oNpGOvJUhyNJbUZ13UiVekA3k/xNN/drYVXqBeR4u6fJ/z9YebO9c6ypMDvO&#10;jGgxogfVB/aZejaJ7HTWz5F0b5EWerhj5uj3cMam+9q18RftMMTB8/Oe2wgm4SyOi+lsUnAmEZtN&#10;j4tZEWGyl6+t8+GLopZFo+QOs0uUiu21D0PqLiU+5kk31VWjdbpEvagL7dhWYNKhn6RP9ab9RtXg&#10;Oy3yfJw33FDF4N55UUgSXQRJZb3C14Z1JT85LvKE+yoWi9q/vNJC/hgbO8gCujaAjWwOrEUr9Kt+&#10;pHJF1TMYdjQo1Ft51QD3WvhwJxwkCVKxZuEWR60JxdBocbYm9+tv/pgPpSDKWQeJl9z/3AinONNf&#10;DTR0OpnN4k6ky6z4OMXFHUZWhxGzaS8I3EInqC6ZMT/onVk7ah+xjcv4KkLCSLyNYezMizAsHrZZ&#10;quUyJWELrAjX5t7KCB1nGfl86B+Fs6MSAjR0Q7tlEPM3ghhy45eGlptAdZPUEgkeWB15xwalwY7b&#10;Hlf08J6yXv6TFr8BAAD//wMAUEsDBBQABgAIAAAAIQDdGhnx2wAAAAcBAAAPAAAAZHJzL2Rvd25y&#10;ZXYueG1sTI/BTsMwEETvSPyDtUjcqEOhaRviVAgJjkgUJMRtG2/jQLwOsdOGv2c5leNoRjNvys3k&#10;O3WgIbaBDVzPMlDEdbAtNwbeXh+vVqBiQrbYBSYDPxRhU52flVjYcOQXOmxTo6SEY4EGXEp9oXWs&#10;HXmMs9ATi7cPg8ckcmi0HfAo5b7T8yzLtceWZcFhTw+O6q/t6A3U+6cmfHx7XAlJ795zip/PozGX&#10;F9P9HahEUzqF4Q9f0KESpl0Y2UbViV7c3kjUgBwQe71ezkHtDOTLBeiq1P/5q18AAAD//wMAUEsB&#10;Ai0AFAAGAAgAAAAhALaDOJL+AAAA4QEAABMAAAAAAAAAAAAAAAAAAAAAAFtDb250ZW50X1R5cGVz&#10;XS54bWxQSwECLQAUAAYACAAAACEAOP0h/9YAAACUAQAACwAAAAAAAAAAAAAAAAAvAQAAX3JlbHMv&#10;LnJlbHNQSwECLQAUAAYACAAAACEA023Ef2UCAADbBAAADgAAAAAAAAAAAAAAAAAuAgAAZHJzL2Uy&#10;b0RvYy54bWxQSwECLQAUAAYACAAAACEA3RoZ8dsAAAAHAQAADwAAAAAAAAAAAAAAAAC/BAAAZHJz&#10;L2Rvd25yZXYueG1sUEsFBgAAAAAEAAQA8wAAAMcFAAAAAA==&#10;" fillcolor="#0d0d0d [3069]" strokeweight=".5pt">
                <v:textbox>
                  <w:txbxContent>
                    <w:p w:rsidR="00B16AD7" w:rsidRPr="00B16AD7" w:rsidRDefault="00B16AD7"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p>
    <w:p w:rsidR="00071451" w:rsidRDefault="00406637" w:rsidP="004B6B73">
      <w:pPr>
        <w:ind w:left="90" w:hanging="90"/>
        <w:jc w:val="center"/>
        <w:rPr>
          <w:rFonts w:ascii="Arial" w:hAnsi="Arial" w:cs="Arial"/>
          <w:b/>
          <w:sz w:val="36"/>
          <w:szCs w:val="36"/>
        </w:rPr>
      </w:pPr>
      <w:r>
        <w:rPr>
          <w:rFonts w:ascii="Arial" w:hAnsi="Arial" w:cs="Arial"/>
          <w:b/>
          <w:sz w:val="36"/>
          <w:szCs w:val="36"/>
        </w:rPr>
        <w:t xml:space="preserve">Year 10 </w:t>
      </w:r>
      <w:r w:rsidRPr="00406637">
        <w:rPr>
          <w:rFonts w:ascii="Arial" w:hAnsi="Arial" w:cs="Arial"/>
          <w:b/>
          <w:sz w:val="36"/>
          <w:szCs w:val="36"/>
        </w:rPr>
        <w:t>Woodworking Adhesives</w:t>
      </w:r>
    </w:p>
    <w:p w:rsidR="004B6B73" w:rsidRDefault="004B6B73" w:rsidP="00957971">
      <w:pPr>
        <w:rPr>
          <w:rFonts w:ascii="Arial" w:hAnsi="Arial" w:cs="Arial"/>
          <w:sz w:val="20"/>
          <w:szCs w:val="20"/>
        </w:rPr>
      </w:pPr>
    </w:p>
    <w:p w:rsidR="00957971" w:rsidRPr="004B6B73" w:rsidRDefault="00957971" w:rsidP="00957971">
      <w:pPr>
        <w:rPr>
          <w:rFonts w:ascii="Arial" w:hAnsi="Arial" w:cs="Arial"/>
          <w:sz w:val="20"/>
          <w:szCs w:val="20"/>
        </w:rPr>
      </w:pPr>
      <w:r w:rsidRPr="004B6B73">
        <w:rPr>
          <w:rFonts w:ascii="Arial" w:hAnsi="Arial" w:cs="Arial"/>
          <w:sz w:val="20"/>
          <w:szCs w:val="20"/>
        </w:rPr>
        <w:t>Adhesives are bonding agents. The wide range of adhesives includes some which will bond dissimilar as well as similar materials.</w:t>
      </w:r>
    </w:p>
    <w:p w:rsidR="00957971" w:rsidRPr="004B6B73" w:rsidRDefault="00957971" w:rsidP="00957971">
      <w:pPr>
        <w:rPr>
          <w:rFonts w:ascii="Arial" w:hAnsi="Arial" w:cs="Arial"/>
          <w:b/>
          <w:sz w:val="20"/>
          <w:szCs w:val="20"/>
          <w:u w:val="single"/>
        </w:rPr>
      </w:pPr>
      <w:r w:rsidRPr="004B6B73">
        <w:rPr>
          <w:rFonts w:ascii="Arial" w:hAnsi="Arial" w:cs="Arial"/>
          <w:b/>
          <w:sz w:val="20"/>
          <w:szCs w:val="20"/>
          <w:u w:val="single"/>
        </w:rPr>
        <w:t>PVA (Polyvinyl Acetate)</w:t>
      </w:r>
    </w:p>
    <w:p w:rsidR="00957971" w:rsidRPr="004B6B73" w:rsidRDefault="00957971" w:rsidP="00957971">
      <w:pPr>
        <w:rPr>
          <w:rFonts w:ascii="Arial" w:hAnsi="Arial" w:cs="Arial"/>
          <w:sz w:val="20"/>
          <w:szCs w:val="20"/>
        </w:rPr>
      </w:pPr>
      <w:r w:rsidRPr="004B6B73">
        <w:rPr>
          <w:rFonts w:ascii="Arial" w:hAnsi="Arial" w:cs="Arial"/>
          <w:sz w:val="20"/>
          <w:szCs w:val="20"/>
        </w:rPr>
        <w:t>PVA is generally a white plastic emulsion which is clear when dry. It can be purchased in plastic bottles, tubes and in bulk containers.</w:t>
      </w:r>
      <w:r w:rsidR="004B6B73">
        <w:rPr>
          <w:rFonts w:ascii="Arial" w:hAnsi="Arial" w:cs="Arial"/>
          <w:sz w:val="20"/>
          <w:szCs w:val="20"/>
        </w:rPr>
        <w:t xml:space="preserve"> Some PVA adhesives have added chemical compounds which react to create a stronger bond, these PVA adhesives are commonly referred to as cross linking or compounded PVA. </w:t>
      </w:r>
    </w:p>
    <w:p w:rsidR="00957971" w:rsidRPr="004B6B73" w:rsidRDefault="00957971" w:rsidP="00957971">
      <w:pPr>
        <w:rPr>
          <w:rFonts w:ascii="Arial" w:hAnsi="Arial" w:cs="Arial"/>
          <w:sz w:val="20"/>
          <w:szCs w:val="20"/>
        </w:rPr>
      </w:pPr>
      <w:r w:rsidRPr="004B6B73">
        <w:rPr>
          <w:rFonts w:ascii="Arial" w:hAnsi="Arial" w:cs="Arial"/>
          <w:sz w:val="20"/>
          <w:szCs w:val="20"/>
        </w:rPr>
        <w:t xml:space="preserve">A plastic squeeze bottle is generally the ideal container for storage and application. For large surfaces it is more convenient to use a spreader or brush to ensure even coverage. The adhesive can be applied to only one surface but the surfaces must be brought together while the PVA is still wet. </w:t>
      </w:r>
    </w:p>
    <w:p w:rsidR="00957971" w:rsidRPr="004B6B73" w:rsidRDefault="00957971" w:rsidP="00957971">
      <w:pPr>
        <w:rPr>
          <w:rFonts w:ascii="Arial" w:hAnsi="Arial" w:cs="Arial"/>
          <w:sz w:val="20"/>
          <w:szCs w:val="20"/>
        </w:rPr>
      </w:pPr>
      <w:r w:rsidRPr="004B6B73">
        <w:rPr>
          <w:rFonts w:ascii="Arial" w:hAnsi="Arial" w:cs="Arial"/>
          <w:sz w:val="20"/>
          <w:szCs w:val="20"/>
        </w:rPr>
        <w:t>Excess glue must be wiped away immediately with a damp cloth otherwise any surface finish applied will show any remaining glue as a dull white spot on the surface. A reasonably strong joint will result after 20-45 minutes depending on the surfaces and rate of drying, a full strength bond may take 12-24 hours. Light clamping is advisable in the initial 20-45 minutes.</w:t>
      </w:r>
    </w:p>
    <w:p w:rsidR="00957971" w:rsidRPr="004B6B73" w:rsidRDefault="004B6B73" w:rsidP="00957971">
      <w:pPr>
        <w:rPr>
          <w:rFonts w:ascii="Arial" w:hAnsi="Arial" w:cs="Arial"/>
          <w:b/>
          <w:sz w:val="20"/>
          <w:szCs w:val="20"/>
          <w:u w:val="single"/>
        </w:rPr>
      </w:pPr>
      <w:r w:rsidRPr="004B6B73">
        <w:rPr>
          <w:rFonts w:ascii="Arial" w:hAnsi="Arial" w:cs="Arial"/>
          <w:b/>
          <w:noProof/>
          <w:sz w:val="20"/>
          <w:szCs w:val="20"/>
          <w:u w:val="single"/>
          <w:lang w:eastAsia="en-AU"/>
        </w:rPr>
        <w:drawing>
          <wp:anchor distT="0" distB="0" distL="114300" distR="114300" simplePos="0" relativeHeight="251662336" behindDoc="1" locked="0" layoutInCell="1" allowOverlap="1" wp14:anchorId="750C7A1C" wp14:editId="7AB5729D">
            <wp:simplePos x="0" y="0"/>
            <wp:positionH relativeFrom="column">
              <wp:posOffset>3695700</wp:posOffset>
            </wp:positionH>
            <wp:positionV relativeFrom="paragraph">
              <wp:posOffset>121920</wp:posOffset>
            </wp:positionV>
            <wp:extent cx="1935480" cy="193548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32AT1L2O.jpg"/>
                    <pic:cNvPicPr/>
                  </pic:nvPicPr>
                  <pic:blipFill>
                    <a:blip r:embed="rId8">
                      <a:extLst>
                        <a:ext uri="{28A0092B-C50C-407E-A947-70E740481C1C}">
                          <a14:useLocalDpi xmlns:a14="http://schemas.microsoft.com/office/drawing/2010/main" val="0"/>
                        </a:ext>
                      </a:extLst>
                    </a:blip>
                    <a:stretch>
                      <a:fillRect/>
                    </a:stretch>
                  </pic:blipFill>
                  <pic:spPr>
                    <a:xfrm>
                      <a:off x="0" y="0"/>
                      <a:ext cx="1935480" cy="1935480"/>
                    </a:xfrm>
                    <a:prstGeom prst="rect">
                      <a:avLst/>
                    </a:prstGeom>
                  </pic:spPr>
                </pic:pic>
              </a:graphicData>
            </a:graphic>
            <wp14:sizeRelH relativeFrom="page">
              <wp14:pctWidth>0</wp14:pctWidth>
            </wp14:sizeRelH>
            <wp14:sizeRelV relativeFrom="page">
              <wp14:pctHeight>0</wp14:pctHeight>
            </wp14:sizeRelV>
          </wp:anchor>
        </w:drawing>
      </w:r>
      <w:r w:rsidR="00957971" w:rsidRPr="004B6B73">
        <w:rPr>
          <w:rFonts w:ascii="Arial" w:hAnsi="Arial" w:cs="Arial"/>
          <w:b/>
          <w:sz w:val="20"/>
          <w:szCs w:val="20"/>
          <w:u w:val="single"/>
        </w:rPr>
        <w:t>Characteristics of PVA</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 xml:space="preserve">Used Cold </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No mixing is required</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Non-toxic</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Has gap filling properties</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Poor water resistance</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Will keep indefinitely in a sealed container</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Does not stain and dries clear</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Heat will soften PVA</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Not recommended for high strength permanent loads</w:t>
      </w:r>
    </w:p>
    <w:p w:rsidR="00957971" w:rsidRPr="004B6B73" w:rsidRDefault="00957971" w:rsidP="00957971">
      <w:pPr>
        <w:pStyle w:val="ListParagraph"/>
        <w:numPr>
          <w:ilvl w:val="0"/>
          <w:numId w:val="2"/>
        </w:numPr>
        <w:rPr>
          <w:rFonts w:ascii="Arial" w:hAnsi="Arial" w:cs="Arial"/>
          <w:b/>
          <w:sz w:val="20"/>
          <w:szCs w:val="20"/>
          <w:u w:val="single"/>
        </w:rPr>
      </w:pPr>
      <w:r w:rsidRPr="004B6B73">
        <w:rPr>
          <w:rFonts w:ascii="Arial" w:hAnsi="Arial" w:cs="Arial"/>
          <w:sz w:val="20"/>
          <w:szCs w:val="20"/>
        </w:rPr>
        <w:t>Suitable for porous surfaces only</w:t>
      </w:r>
    </w:p>
    <w:p w:rsidR="004B6B73" w:rsidRDefault="004B6B73" w:rsidP="004B6B73">
      <w:pPr>
        <w:rPr>
          <w:rFonts w:ascii="Arial" w:hAnsi="Arial" w:cs="Arial"/>
          <w:b/>
          <w:sz w:val="20"/>
          <w:szCs w:val="20"/>
          <w:u w:val="single"/>
        </w:rPr>
      </w:pPr>
      <w:r>
        <w:rPr>
          <w:rFonts w:ascii="Arial" w:hAnsi="Arial" w:cs="Arial"/>
          <w:b/>
          <w:sz w:val="20"/>
          <w:szCs w:val="20"/>
          <w:u w:val="single"/>
        </w:rPr>
        <w:t>Other Woodworking Adhesives</w:t>
      </w:r>
    </w:p>
    <w:p w:rsidR="004B6B73" w:rsidRPr="004B6B73" w:rsidRDefault="004B6B73" w:rsidP="004B6B73">
      <w:pPr>
        <w:rPr>
          <w:rFonts w:ascii="Arial" w:hAnsi="Arial" w:cs="Arial"/>
          <w:b/>
          <w:sz w:val="20"/>
          <w:szCs w:val="20"/>
          <w:u w:val="single"/>
        </w:rPr>
      </w:pPr>
      <w:r>
        <w:rPr>
          <w:rFonts w:ascii="Arial" w:hAnsi="Arial" w:cs="Arial"/>
          <w:sz w:val="20"/>
          <w:szCs w:val="20"/>
        </w:rPr>
        <w:t>Woodworkers can call on a number of different adhesive types to join timber projects. Contact adhesives are useful for joining dissimilar materials and laminated finishes. Epoxy or chemical set glues are extremely strong and can also be used to join materials such as wood and metal together. Adhesives that use chemical set techniques often consist of a two-part reaction using a hardener or catalyst which react and create a fast setting bond. Examples of epoxy</w:t>
      </w:r>
      <w:r w:rsidR="008D470E">
        <w:rPr>
          <w:rFonts w:ascii="Arial" w:hAnsi="Arial" w:cs="Arial"/>
          <w:sz w:val="20"/>
          <w:szCs w:val="20"/>
        </w:rPr>
        <w:t xml:space="preserve"> or chemical set</w:t>
      </w:r>
      <w:r>
        <w:rPr>
          <w:rFonts w:ascii="Arial" w:hAnsi="Arial" w:cs="Arial"/>
          <w:sz w:val="20"/>
          <w:szCs w:val="20"/>
        </w:rPr>
        <w:t xml:space="preserve"> glues would include products like Araldite and Cyanoacrylate</w:t>
      </w:r>
      <w:r w:rsidR="008D470E">
        <w:rPr>
          <w:rFonts w:ascii="Arial" w:hAnsi="Arial" w:cs="Arial"/>
          <w:sz w:val="20"/>
          <w:szCs w:val="20"/>
        </w:rPr>
        <w:t xml:space="preserve"> flash glues.</w:t>
      </w:r>
    </w:p>
    <w:p w:rsidR="00957971" w:rsidRDefault="00957971" w:rsidP="00957971">
      <w:pPr>
        <w:rPr>
          <w:rFonts w:ascii="Arial" w:hAnsi="Arial" w:cs="Arial"/>
          <w:b/>
          <w:sz w:val="24"/>
          <w:szCs w:val="24"/>
          <w:u w:val="single"/>
        </w:rPr>
      </w:pPr>
    </w:p>
    <w:p w:rsidR="00D70CCD" w:rsidRDefault="00D70CCD" w:rsidP="00957971">
      <w:pPr>
        <w:rPr>
          <w:rFonts w:ascii="Arial" w:hAnsi="Arial" w:cs="Arial"/>
          <w:b/>
          <w:sz w:val="24"/>
          <w:szCs w:val="24"/>
          <w:u w:val="single"/>
        </w:rPr>
      </w:pPr>
    </w:p>
    <w:p w:rsidR="00D70CCD" w:rsidRDefault="00D70CCD" w:rsidP="00957971">
      <w:pPr>
        <w:rPr>
          <w:rFonts w:ascii="Arial" w:hAnsi="Arial" w:cs="Arial"/>
          <w:b/>
          <w:sz w:val="24"/>
          <w:szCs w:val="24"/>
          <w:u w:val="single"/>
        </w:rPr>
      </w:pPr>
    </w:p>
    <w:p w:rsidR="00D70CCD" w:rsidRDefault="00D70CCD" w:rsidP="00957971">
      <w:pPr>
        <w:rPr>
          <w:rFonts w:ascii="Arial" w:hAnsi="Arial" w:cs="Arial"/>
          <w:b/>
          <w:sz w:val="24"/>
          <w:szCs w:val="24"/>
          <w:u w:val="single"/>
        </w:rPr>
      </w:pPr>
    </w:p>
    <w:p w:rsidR="00D70CCD" w:rsidRDefault="00D70CCD" w:rsidP="00957971">
      <w:pPr>
        <w:rPr>
          <w:rFonts w:ascii="Arial" w:hAnsi="Arial" w:cs="Arial"/>
          <w:b/>
          <w:sz w:val="24"/>
          <w:szCs w:val="24"/>
          <w:u w:val="single"/>
        </w:rPr>
      </w:pPr>
    </w:p>
    <w:p w:rsidR="00D70CCD" w:rsidRDefault="00D70CCD" w:rsidP="00957971">
      <w:pPr>
        <w:rPr>
          <w:rFonts w:ascii="Arial" w:hAnsi="Arial" w:cs="Arial"/>
          <w:b/>
          <w:sz w:val="24"/>
          <w:szCs w:val="24"/>
          <w:u w:val="single"/>
        </w:rPr>
      </w:pPr>
    </w:p>
    <w:p w:rsidR="00D70CCD" w:rsidRDefault="00D70CCD" w:rsidP="00957971">
      <w:pPr>
        <w:rPr>
          <w:rFonts w:ascii="Arial" w:hAnsi="Arial" w:cs="Arial"/>
          <w:b/>
          <w:sz w:val="24"/>
          <w:szCs w:val="24"/>
          <w:u w:val="single"/>
        </w:rPr>
      </w:pPr>
      <w:bookmarkStart w:id="0" w:name="_GoBack"/>
      <w:bookmarkEnd w:id="0"/>
    </w:p>
    <w:p w:rsidR="00D70CCD" w:rsidRDefault="00D70CCD" w:rsidP="00957971">
      <w:pPr>
        <w:rPr>
          <w:rFonts w:ascii="Arial" w:hAnsi="Arial" w:cs="Arial"/>
          <w:b/>
          <w:sz w:val="24"/>
          <w:szCs w:val="24"/>
          <w:u w:val="single"/>
        </w:rPr>
      </w:pPr>
    </w:p>
    <w:p w:rsidR="00D70CCD" w:rsidRPr="005D0C7C" w:rsidRDefault="001845FC" w:rsidP="00957971">
      <w:pPr>
        <w:rPr>
          <w:rFonts w:ascii="Arial" w:hAnsi="Arial" w:cs="Arial"/>
          <w:b/>
          <w:sz w:val="24"/>
          <w:szCs w:val="24"/>
          <w:u w:val="single"/>
        </w:rPr>
      </w:pPr>
      <w:r>
        <w:rPr>
          <w:rFonts w:ascii="Arial" w:hAnsi="Arial" w:cs="Arial"/>
          <w:b/>
          <w:sz w:val="24"/>
          <w:szCs w:val="24"/>
          <w:u w:val="single"/>
        </w:rPr>
        <w:t xml:space="preserve"> </w:t>
      </w:r>
      <w:r w:rsidR="00D70CCD">
        <w:rPr>
          <w:rFonts w:ascii="Arial" w:hAnsi="Arial" w:cs="Arial"/>
          <w:noProof/>
          <w:sz w:val="24"/>
          <w:szCs w:val="24"/>
          <w:lang w:eastAsia="en-AU"/>
        </w:rPr>
        <w:drawing>
          <wp:inline distT="0" distB="0" distL="0" distR="0" wp14:anchorId="3336132A" wp14:editId="3C8A020F">
            <wp:extent cx="8978733" cy="6359935"/>
            <wp:effectExtent l="0" t="508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2.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996229" cy="6372328"/>
                    </a:xfrm>
                    <a:prstGeom prst="rect">
                      <a:avLst/>
                    </a:prstGeom>
                  </pic:spPr>
                </pic:pic>
              </a:graphicData>
            </a:graphic>
          </wp:inline>
        </w:drawing>
      </w:r>
    </w:p>
    <w:sectPr w:rsidR="00D70CCD" w:rsidRPr="005D0C7C" w:rsidSect="00E824E4">
      <w:footerReference w:type="default" r:id="rId10"/>
      <w:pgSz w:w="11906" w:h="16838"/>
      <w:pgMar w:top="90" w:right="1440" w:bottom="990" w:left="81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E2D" w:rsidRDefault="000E4E2D" w:rsidP="000E4E2D">
      <w:pPr>
        <w:spacing w:after="0" w:line="240" w:lineRule="auto"/>
      </w:pPr>
      <w:r>
        <w:separator/>
      </w:r>
    </w:p>
  </w:endnote>
  <w:endnote w:type="continuationSeparator" w:id="0">
    <w:p w:rsidR="000E4E2D" w:rsidRDefault="000E4E2D" w:rsidP="000E4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E2D" w:rsidRDefault="000E4E2D">
    <w:pPr>
      <w:pStyle w:val="Footer"/>
    </w:pPr>
  </w:p>
  <w:p w:rsidR="000E4E2D" w:rsidRDefault="008D470E">
    <w:pPr>
      <w:pStyle w:val="Footer"/>
    </w:pPr>
    <w:fldSimple w:instr=" FILENAME  \p  \* MERGEFORMAT ">
      <w:r>
        <w:rPr>
          <w:noProof/>
        </w:rPr>
        <w:t xml:space="preserve">N:\Secondary Curriculum\Curriculum </w:t>
      </w:r>
      <w:r w:rsidRPr="008D470E">
        <w:rPr>
          <w:noProof/>
          <w:sz w:val="16"/>
          <w:szCs w:val="16"/>
        </w:rPr>
        <w:t>Resources</w:t>
      </w:r>
      <w:r>
        <w:rPr>
          <w:noProof/>
        </w:rPr>
        <w:t>\Design and Technology\Year 10\Year 10 Woodworking Adhesives.docx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E2D" w:rsidRDefault="000E4E2D" w:rsidP="000E4E2D">
      <w:pPr>
        <w:spacing w:after="0" w:line="240" w:lineRule="auto"/>
      </w:pPr>
      <w:r>
        <w:separator/>
      </w:r>
    </w:p>
  </w:footnote>
  <w:footnote w:type="continuationSeparator" w:id="0">
    <w:p w:rsidR="000E4E2D" w:rsidRDefault="000E4E2D" w:rsidP="000E4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82EB2"/>
    <w:multiLevelType w:val="hybridMultilevel"/>
    <w:tmpl w:val="7A3A80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0167A43"/>
    <w:multiLevelType w:val="hybridMultilevel"/>
    <w:tmpl w:val="4E8EF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EzNbEwNjE1MjE1NjdW0lEKTi0uzszPAykwrQUAG6Y6+iwAAAA="/>
  </w:docVars>
  <w:rsids>
    <w:rsidRoot w:val="00B16AD7"/>
    <w:rsid w:val="00071451"/>
    <w:rsid w:val="000E4E2D"/>
    <w:rsid w:val="00173E48"/>
    <w:rsid w:val="001845FC"/>
    <w:rsid w:val="00406637"/>
    <w:rsid w:val="004B6B73"/>
    <w:rsid w:val="005D0C7C"/>
    <w:rsid w:val="008D470E"/>
    <w:rsid w:val="00957971"/>
    <w:rsid w:val="009E2F57"/>
    <w:rsid w:val="00B16AD7"/>
    <w:rsid w:val="00B54721"/>
    <w:rsid w:val="00D70CCD"/>
    <w:rsid w:val="00E82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47EA39-1EDD-437D-B894-DDCAB989A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637"/>
    <w:pPr>
      <w:ind w:left="720"/>
      <w:contextualSpacing/>
    </w:pPr>
  </w:style>
  <w:style w:type="paragraph" w:styleId="Header">
    <w:name w:val="header"/>
    <w:basedOn w:val="Normal"/>
    <w:link w:val="HeaderChar"/>
    <w:uiPriority w:val="99"/>
    <w:unhideWhenUsed/>
    <w:rsid w:val="000E4E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E2D"/>
  </w:style>
  <w:style w:type="paragraph" w:styleId="Footer">
    <w:name w:val="footer"/>
    <w:basedOn w:val="Normal"/>
    <w:link w:val="FooterChar"/>
    <w:uiPriority w:val="99"/>
    <w:unhideWhenUsed/>
    <w:rsid w:val="000E4E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E2D"/>
  </w:style>
  <w:style w:type="paragraph" w:styleId="BalloonText">
    <w:name w:val="Balloon Text"/>
    <w:basedOn w:val="Normal"/>
    <w:link w:val="BalloonTextChar"/>
    <w:uiPriority w:val="99"/>
    <w:semiHidden/>
    <w:unhideWhenUsed/>
    <w:rsid w:val="009E2F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F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1316</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Manser</dc:creator>
  <cp:keywords/>
  <dc:description/>
  <cp:lastModifiedBy>Paul Manser</cp:lastModifiedBy>
  <cp:revision>5</cp:revision>
  <cp:lastPrinted>2016-08-03T00:07:00Z</cp:lastPrinted>
  <dcterms:created xsi:type="dcterms:W3CDTF">2016-08-03T01:45:00Z</dcterms:created>
  <dcterms:modified xsi:type="dcterms:W3CDTF">2016-09-06T01:48:00Z</dcterms:modified>
</cp:coreProperties>
</file>